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Explanation 1 of section 13 of Income Tax Act, 1961 states that “Relative” in relation to an individual means: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Specified Person’s: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Spouse (Wife/ Husband)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Brother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Sister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Lineal Ascendant*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Lineal Ascendant's Spouse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Lineal Descendant**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Lineal Descendant's Spouse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Brother Spouse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Sister Spouse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Brother's Lineal Descendant (Children/ Grandchildren of Brother)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Sister's Lineal Descendant (Children/ Grandchildren of Sister)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Specified Person’s Spouse's: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Brother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Sister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Lineal Ascendant (Parents (father- mother)/ Grand Parents )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Lineal Ascendant's Spouse (Parents (father- mother)/ Grand Parents ) 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Brother's Spouse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Sister's Spouse 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Brother’s Lineal Descendant 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Sister’s Lineal Descendant 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*Lineal Ascendant means a blood relative in the direct line of ascent, such as Parents, Grandparents, Great Grandparents 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** Lineal Descendant means a blood relative in the direct line of descent, such as Children, Grandchildren, Great Grandchildren 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PROVISIONS OF SUB-SECTION (3) READ WITH EXPLANATION 1 OF SECTION 13 OF THE INCOME TAX ACT, 1962 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Specified Person as per section 13(3) is defined as follows: 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1. The author of the trust or the founder of the institution 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2. Any person who had made a total contribution (upto the end of the relevant previous year) of an amount exceeding Rs 50,000/- 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3. Any member of the HUF (or any relative* of such member) where such author or founder or substantial contributor is a HUF 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4. Any trustee of the trust or manager (by whatever name called) of the institution 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5. Any relative* of such author, founder, substantial contributor, member, trustee or manager 6. Any concern in which any of the persons referred to above has a substantial interest^. 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^Substantial Interest: A person will be deemed to have substantial interest in a company if he (or along with ‘specified persons’ mentioned above) beneficially holds at least 20% equity share capital of the company at any time during the previous year. In case of a concern other than a company, a person will be deemed to have substantial interest if he (or along with ‘specified persons’ mentioned above) is entitled to at least 20% of the profits of such concern at any time during the previous year. 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*Relative (as defined in the “Explanation 1” of the Section 13 of the Income Tax Act, 1961) in relation to Individual means: 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1. Spouse of the individual 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2. Brother or sister of the individual 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3. Brother or sister of the spouse of the individual 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4. Any lineal ascendant or descendant of the individual 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5. Any lineal ascendant or descendant of the spouse of the individual 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6. Spouse of a person referred to in 2, 3, 4 or 5 above 7. Any lineal ascendant or descendant of a brother or sister of either the individual or of the spouse of the individual.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